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3AF79">
      <w:pPr>
        <w:widowControl/>
        <w:spacing w:after="120" w:line="612" w:lineRule="exact"/>
        <w:jc w:val="left"/>
        <w:rPr>
          <w:rFonts w:hint="default" w:ascii="Times New Roman" w:hAnsi="Times New Roman" w:eastAsia="方正小标宋_GBK" w:cs="Times New Roman"/>
          <w:bCs/>
          <w:kern w:val="0"/>
          <w:sz w:val="36"/>
          <w:szCs w:val="32"/>
        </w:rPr>
      </w:pPr>
      <w:r>
        <w:rPr>
          <w:rFonts w:hint="default" w:ascii="Times New Roman" w:hAnsi="Times New Roman" w:eastAsia="方正小标宋_GBK" w:cs="Times New Roman"/>
          <w:bCs/>
          <w:kern w:val="0"/>
          <w:sz w:val="36"/>
          <w:szCs w:val="32"/>
        </w:rPr>
        <w:t>附件1</w:t>
      </w:r>
    </w:p>
    <w:p w14:paraId="6B7FF136">
      <w:pPr>
        <w:widowControl/>
        <w:spacing w:after="120" w:line="612" w:lineRule="exact"/>
        <w:jc w:val="left"/>
        <w:rPr>
          <w:rFonts w:hint="default" w:ascii="Times New Roman" w:hAnsi="Times New Roman" w:eastAsia="黑体" w:cs="Times New Roman"/>
          <w:bCs/>
          <w:kern w:val="0"/>
          <w:sz w:val="32"/>
          <w:szCs w:val="32"/>
        </w:rPr>
      </w:pPr>
    </w:p>
    <w:p w14:paraId="74224B85">
      <w:pPr>
        <w:widowControl/>
        <w:spacing w:after="120" w:line="612" w:lineRule="exact"/>
        <w:jc w:val="center"/>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202</w:t>
      </w:r>
      <w:r>
        <w:rPr>
          <w:rFonts w:hint="default" w:ascii="Times New Roman" w:hAnsi="Times New Roman" w:eastAsia="方正小标宋_GBK" w:cs="Times New Roman"/>
          <w:bCs/>
          <w:kern w:val="0"/>
          <w:sz w:val="44"/>
          <w:szCs w:val="44"/>
          <w:lang w:val="en-US" w:eastAsia="zh-CN"/>
        </w:rPr>
        <w:t>5</w:t>
      </w:r>
      <w:r>
        <w:rPr>
          <w:rFonts w:hint="default" w:ascii="Times New Roman" w:hAnsi="Times New Roman" w:eastAsia="方正小标宋_GBK" w:cs="Times New Roman"/>
          <w:bCs/>
          <w:kern w:val="0"/>
          <w:sz w:val="44"/>
          <w:szCs w:val="44"/>
        </w:rPr>
        <w:t>年度苏州市文化产业发展专项资金项目</w:t>
      </w:r>
    </w:p>
    <w:p w14:paraId="0F38D1B2">
      <w:pPr>
        <w:widowControl/>
        <w:spacing w:after="120" w:line="612" w:lineRule="exact"/>
        <w:jc w:val="center"/>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申报指南</w:t>
      </w:r>
    </w:p>
    <w:p w14:paraId="75DC5A36">
      <w:pPr>
        <w:spacing w:line="612" w:lineRule="exact"/>
        <w:jc w:val="center"/>
        <w:rPr>
          <w:rFonts w:hint="default" w:ascii="Times New Roman" w:hAnsi="Times New Roman" w:eastAsia="方正楷体_GBK" w:cs="Times New Roman"/>
          <w:sz w:val="32"/>
          <w:szCs w:val="32"/>
        </w:rPr>
      </w:pPr>
    </w:p>
    <w:p w14:paraId="085FC78E">
      <w:pPr>
        <w:spacing w:line="61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落实《关于实施文化产业倍增计划的意见》（苏委办发〔2021〕2号）《关于落实文化产业倍增计划的扶持政策》（苏委办〔2021〕1号，以下简称《扶持政策》）文件精神，推进我市现代化产业体系和文化强市建设，助力文化产业数字化，加速培育形成新质生产力，促进我市文化产业高质量发展，根据《苏州市市级文化产业发展专项资金管理办法》（苏财规〔2020〕10号），制定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年度苏州市文化产业发展专项资金项目申报指南。</w:t>
      </w:r>
    </w:p>
    <w:p w14:paraId="5A1FC957">
      <w:pPr>
        <w:numPr>
          <w:ilvl w:val="0"/>
          <w:numId w:val="1"/>
        </w:numPr>
        <w:spacing w:line="612"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支持范围</w:t>
      </w:r>
    </w:p>
    <w:p w14:paraId="4A51F6E8">
      <w:pPr>
        <w:spacing w:line="61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符合国家统计局《文化及相关产业分类（2018）》、国家发改委《产业结构调整指导目录（2024年本）》政策导向的相关企业或重大项目。重点支持数字文化、创意设计、文旅融合等文化产业核心领域的项目；在线文娱、城市探险等新型文旅消费场景的项目；沉浸式体验、可穿戴智能文化设备等文化产业新业态项目。</w:t>
      </w:r>
    </w:p>
    <w:p w14:paraId="6957E970">
      <w:pPr>
        <w:spacing w:line="612"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二、申报方式</w:t>
      </w:r>
    </w:p>
    <w:p w14:paraId="4302E3B0">
      <w:pPr>
        <w:spacing w:line="612"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仿宋_GB2312" w:cs="Times New Roman"/>
          <w:sz w:val="32"/>
          <w:szCs w:val="32"/>
        </w:rPr>
        <w:t>苏州市文化产业发展专项资金项目采取集中申报制，一年申报一次。当年申报上一年度符合《扶持政策》要求的项目。</w:t>
      </w:r>
    </w:p>
    <w:p w14:paraId="7E759AFC">
      <w:pPr>
        <w:spacing w:line="612"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三、申报条件</w:t>
      </w:r>
    </w:p>
    <w:p w14:paraId="304720DD">
      <w:pPr>
        <w:spacing w:line="612"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（一）申报主体须同时符合下列条件：</w:t>
      </w:r>
    </w:p>
    <w:p w14:paraId="33BD8F97">
      <w:pPr>
        <w:spacing w:line="612"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1.在苏州大市范围内依法登记注册设立，具有独立法人资格的企业（单位）；</w:t>
      </w:r>
    </w:p>
    <w:p w14:paraId="49B692E6">
      <w:pPr>
        <w:spacing w:line="612"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2.主要以文化内容为核心，从事文化内容产品的创作、研发、生产、传播、发行等业务活动；</w:t>
      </w:r>
    </w:p>
    <w:p w14:paraId="4B8F5374">
      <w:pPr>
        <w:spacing w:line="612" w:lineRule="exact"/>
        <w:ind w:firstLine="624"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3.财务制度健全，会计核算规范，具有较好的财务状况</w:t>
      </w:r>
      <w:r>
        <w:rPr>
          <w:rFonts w:hint="default" w:ascii="Times New Roman" w:hAnsi="Times New Roman" w:eastAsia="仿宋_GB2312" w:cs="Times New Roman"/>
          <w:sz w:val="32"/>
          <w:szCs w:val="32"/>
        </w:rPr>
        <w:t>和相应的项目资金筹措能力，且已完整运行不少于一个会计年度；</w:t>
      </w:r>
    </w:p>
    <w:p w14:paraId="5F320529">
      <w:pPr>
        <w:spacing w:line="612" w:lineRule="exact"/>
        <w:ind w:firstLine="640" w:firstLineChars="200"/>
        <w:jc w:val="left"/>
        <w:rPr>
          <w:rFonts w:hint="default" w:ascii="Times New Roman" w:hAnsi="Times New Roman" w:eastAsia="仿宋_GB2312" w:cs="Times New Roman"/>
          <w:spacing w:val="-4"/>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pacing w:val="-4"/>
          <w:sz w:val="32"/>
          <w:szCs w:val="32"/>
        </w:rPr>
        <w:t>申报主体与项目实施主体、资金使用主体必须一致；</w:t>
      </w:r>
    </w:p>
    <w:p w14:paraId="1FDE997D">
      <w:pPr>
        <w:spacing w:line="612"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5.申报主体两年内无</w:t>
      </w:r>
      <w:r>
        <w:rPr>
          <w:rFonts w:hint="default" w:ascii="Times New Roman" w:hAnsi="Times New Roman" w:eastAsia="仿宋_GB2312" w:cs="Times New Roman"/>
          <w:sz w:val="32"/>
          <w:szCs w:val="32"/>
        </w:rPr>
        <w:t>安全生产责任事故。</w:t>
      </w:r>
    </w:p>
    <w:p w14:paraId="39A4BD5E">
      <w:pPr>
        <w:spacing w:line="61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（二）</w:t>
      </w:r>
      <w:r>
        <w:rPr>
          <w:rFonts w:hint="default" w:ascii="Times New Roman" w:hAnsi="Times New Roman" w:eastAsia="仿宋_GB2312" w:cs="Times New Roman"/>
          <w:sz w:val="32"/>
          <w:szCs w:val="32"/>
        </w:rPr>
        <w:t>有下列情况之一的，不予扶持：</w:t>
      </w:r>
    </w:p>
    <w:p w14:paraId="626B344E">
      <w:pPr>
        <w:spacing w:line="61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1.经市公共信用信息系统信用审查，申报单位存在失信行为的；</w:t>
      </w:r>
    </w:p>
    <w:p w14:paraId="6AC8AF7C">
      <w:pPr>
        <w:spacing w:line="612" w:lineRule="exact"/>
        <w:ind w:firstLine="624" w:firstLineChars="200"/>
        <w:jc w:val="left"/>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2.违反苏州市市级财政专项资金管理相关规定，被禁止申报本专项资金的；</w:t>
      </w:r>
    </w:p>
    <w:p w14:paraId="25E6AA00">
      <w:pPr>
        <w:spacing w:line="612" w:lineRule="exact"/>
        <w:ind w:firstLine="624" w:firstLineChars="200"/>
        <w:jc w:val="left"/>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3.未按要求提供相关财务或税务资料的；</w:t>
      </w:r>
    </w:p>
    <w:p w14:paraId="1AD4F8B2">
      <w:pPr>
        <w:spacing w:line="612" w:lineRule="exact"/>
        <w:ind w:firstLine="624" w:firstLineChars="200"/>
        <w:jc w:val="left"/>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4.同一项目当年度己获得市级财政其他专项资金扶持或以往年度已获得本专项资金扶持的（含已列入扶持计划）；</w:t>
      </w:r>
    </w:p>
    <w:p w14:paraId="045EA436">
      <w:pPr>
        <w:spacing w:line="612" w:lineRule="exact"/>
        <w:ind w:firstLine="624" w:firstLineChars="200"/>
        <w:jc w:val="left"/>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5.法律、法规、规章或市财政部门规定不得给予财政专项资金支持的。</w:t>
      </w:r>
    </w:p>
    <w:p w14:paraId="0E8B5B44">
      <w:pPr>
        <w:spacing w:line="612"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w:t>
      </w:r>
      <w:r>
        <w:rPr>
          <w:rFonts w:hint="default" w:ascii="Times New Roman" w:hAnsi="Times New Roman" w:eastAsia="仿宋_GB2312" w:cs="Times New Roman"/>
          <w:spacing w:val="-4"/>
          <w:sz w:val="32"/>
          <w:szCs w:val="32"/>
        </w:rPr>
        <w:t>申报《扶持政策》第四条第三款“支持来苏取景拍摄电影”奖励资金的，对申报单位注册地不做限制</w:t>
      </w:r>
      <w:r>
        <w:rPr>
          <w:rFonts w:hint="default" w:ascii="Times New Roman" w:hAnsi="Times New Roman" w:eastAsia="仿宋_GB2312" w:cs="Times New Roman"/>
          <w:sz w:val="32"/>
          <w:szCs w:val="32"/>
        </w:rPr>
        <w:t>。</w:t>
      </w:r>
    </w:p>
    <w:p w14:paraId="79DE77A3">
      <w:pPr>
        <w:spacing w:line="612"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四、申报材料</w:t>
      </w:r>
    </w:p>
    <w:p w14:paraId="4A83A44C">
      <w:pPr>
        <w:spacing w:line="612"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申报单位均需提供</w:t>
      </w:r>
      <w:r>
        <w:rPr>
          <w:rFonts w:hint="default" w:ascii="Times New Roman" w:hAnsi="Times New Roman" w:eastAsia="仿宋_GB2312" w:cs="Times New Roman"/>
          <w:spacing w:val="6"/>
          <w:sz w:val="32"/>
          <w:szCs w:val="32"/>
        </w:rPr>
        <w:t>《2</w:t>
      </w:r>
      <w:r>
        <w:rPr>
          <w:rFonts w:hint="default" w:ascii="Times New Roman" w:hAnsi="Times New Roman" w:eastAsia="仿宋_GB2312" w:cs="Times New Roman"/>
          <w:sz w:val="32"/>
          <w:szCs w:val="32"/>
        </w:rPr>
        <w:t>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年度苏州市文化产业发展专项资金项目申报表》、《苏州市文化产业发展专项资金项目申报信用承诺书》、营业执照、法定代表人身份证复印件。</w:t>
      </w:r>
    </w:p>
    <w:p w14:paraId="74232B0B">
      <w:pPr>
        <w:spacing w:line="612" w:lineRule="exact"/>
        <w:ind w:firstLine="643"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申报单位根据不同申报类别，提供以下材料：</w:t>
      </w:r>
    </w:p>
    <w:p w14:paraId="08635A34">
      <w:pPr>
        <w:numPr>
          <w:ilvl w:val="0"/>
          <w:numId w:val="2"/>
        </w:numPr>
        <w:spacing w:line="612"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支持重大项目建设类</w:t>
      </w:r>
    </w:p>
    <w:p w14:paraId="2565C620">
      <w:pPr>
        <w:spacing w:line="61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（1）项目介绍（含项目内容与规模、可行性分析、项目示范性与创新性、实施方案及进度、投资预算与资金筹措、经济与社会效益分析、项目风险分析与控制和实施保障条件等）；</w:t>
      </w:r>
    </w:p>
    <w:p w14:paraId="13A9333B">
      <w:pPr>
        <w:spacing w:line="612"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（2）立</w:t>
      </w:r>
      <w:r>
        <w:rPr>
          <w:rFonts w:hint="default" w:ascii="Times New Roman" w:hAnsi="Times New Roman" w:eastAsia="仿宋_GB2312" w:cs="Times New Roman"/>
          <w:bCs/>
          <w:sz w:val="32"/>
          <w:szCs w:val="32"/>
        </w:rPr>
        <w:t>项批准文件：项目立项需经有关部门核准或备案的，须提供相关文件复印件（如：国有土地使用证、环境影响评价审批意见、工程施工许可证）。项目原则上应于2021年1月1日</w:t>
      </w:r>
      <w:r>
        <w:rPr>
          <w:rFonts w:hint="default" w:ascii="Times New Roman" w:hAnsi="Times New Roman" w:eastAsia="仿宋_GB2312" w:cs="Times New Roman"/>
          <w:sz w:val="32"/>
          <w:szCs w:val="32"/>
        </w:rPr>
        <w:t>以后立项或开工建设；</w:t>
      </w:r>
    </w:p>
    <w:p w14:paraId="0B4670AA">
      <w:pPr>
        <w:spacing w:line="612"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（3）经会计师事务所审计出具的带有二维码标识的202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年年度审计报告复印件（包括：资产负债表、损益表、现金流量表、财务报表附注等）；</w:t>
      </w:r>
    </w:p>
    <w:p w14:paraId="3DA35EE9">
      <w:pPr>
        <w:spacing w:line="612"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（4）经会计师事务所审计出具的带有二维码标识的项目投入专项审计报告</w:t>
      </w:r>
      <w:r>
        <w:rPr>
          <w:rFonts w:hint="default" w:ascii="Times New Roman" w:hAnsi="Times New Roman" w:eastAsia="仿宋_GB2312" w:cs="Times New Roman"/>
          <w:b/>
          <w:sz w:val="32"/>
          <w:szCs w:val="32"/>
        </w:rPr>
        <w:t>原件1份</w:t>
      </w:r>
      <w:r>
        <w:rPr>
          <w:rFonts w:hint="default" w:ascii="Times New Roman" w:hAnsi="Times New Roman" w:eastAsia="仿宋_GB2312" w:cs="Times New Roman"/>
          <w:bCs/>
          <w:sz w:val="32"/>
          <w:szCs w:val="32"/>
        </w:rPr>
        <w:t>（含项目建设内容、项目总投资额、项目实际已完成投资额及支出明细）。项目已完成实际投资额需达1000万元及以上（财政性资金投入占比不超过20%），且应于202</w:t>
      </w:r>
      <w:r>
        <w:rPr>
          <w:rFonts w:hint="eastAsia"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rPr>
        <w:t>年</w:t>
      </w:r>
      <w:r>
        <w:rPr>
          <w:rFonts w:hint="eastAsia" w:eastAsia="仿宋_GB2312" w:cs="Times New Roman"/>
          <w:bCs/>
          <w:color w:val="auto"/>
          <w:sz w:val="32"/>
          <w:szCs w:val="32"/>
          <w:highlight w:val="none"/>
          <w:lang w:val="en-US" w:eastAsia="zh-CN"/>
        </w:rPr>
        <w:t>1</w:t>
      </w:r>
      <w:r>
        <w:rPr>
          <w:rFonts w:hint="default" w:ascii="Times New Roman" w:hAnsi="Times New Roman" w:eastAsia="仿宋_GB2312" w:cs="Times New Roman"/>
          <w:bCs/>
          <w:color w:val="auto"/>
          <w:sz w:val="32"/>
          <w:szCs w:val="32"/>
          <w:highlight w:val="none"/>
        </w:rPr>
        <w:t>月</w:t>
      </w:r>
      <w:r>
        <w:rPr>
          <w:rFonts w:hint="eastAsia" w:eastAsia="仿宋_GB2312" w:cs="Times New Roman"/>
          <w:bCs/>
          <w:color w:val="auto"/>
          <w:sz w:val="32"/>
          <w:szCs w:val="32"/>
          <w:highlight w:val="none"/>
          <w:lang w:val="en-US" w:eastAsia="zh-CN"/>
        </w:rPr>
        <w:t>31</w:t>
      </w:r>
      <w:r>
        <w:rPr>
          <w:rFonts w:hint="default" w:ascii="Times New Roman" w:hAnsi="Times New Roman" w:eastAsia="仿宋_GB2312" w:cs="Times New Roman"/>
          <w:bCs/>
          <w:color w:val="auto"/>
          <w:sz w:val="32"/>
          <w:szCs w:val="32"/>
          <w:highlight w:val="none"/>
        </w:rPr>
        <w:t>日</w:t>
      </w:r>
      <w:r>
        <w:rPr>
          <w:rFonts w:hint="default" w:ascii="Times New Roman" w:hAnsi="Times New Roman" w:eastAsia="仿宋_GB2312" w:cs="Times New Roman"/>
          <w:bCs/>
          <w:sz w:val="32"/>
          <w:szCs w:val="32"/>
          <w:highlight w:val="none"/>
        </w:rPr>
        <w:t>前</w:t>
      </w:r>
      <w:r>
        <w:rPr>
          <w:rFonts w:hint="default" w:ascii="Times New Roman" w:hAnsi="Times New Roman" w:eastAsia="仿宋_GB2312" w:cs="Times New Roman"/>
          <w:bCs/>
          <w:sz w:val="32"/>
          <w:szCs w:val="32"/>
        </w:rPr>
        <w:t>完成建设；</w:t>
      </w:r>
    </w:p>
    <w:p w14:paraId="3CE79CD3">
      <w:pPr>
        <w:spacing w:line="612" w:lineRule="exact"/>
        <w:ind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（5）结项项目需提供结项相关证明材料</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工程类项目应出具主管部门盖章的项目竣工验收报告；营业类项目应出具销售证明；软件研发类项目应出具第三方评测报告</w:t>
      </w:r>
      <w:r>
        <w:rPr>
          <w:rFonts w:hint="default" w:ascii="Times New Roman" w:hAnsi="Times New Roman" w:eastAsia="仿宋_GB2312" w:cs="Times New Roman"/>
          <w:bCs/>
          <w:sz w:val="32"/>
          <w:szCs w:val="32"/>
        </w:rPr>
        <w:t>）。</w:t>
      </w:r>
    </w:p>
    <w:p w14:paraId="270BF540">
      <w:pPr>
        <w:spacing w:line="612"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二</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鼓励原创内容生产类</w:t>
      </w:r>
    </w:p>
    <w:p w14:paraId="63FD8D50">
      <w:pPr>
        <w:spacing w:line="612"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入选国家级动漫游戏重大项目（“一带一路”文化产业和旅游产业国际合作重点项目等）或荣获国家级重大奖项（“动漫奖”、“金猴奖”等）的优秀原创动漫游戏作品奖励的，提供获奖证书、奖牌或表彰文件复印件。</w:t>
      </w:r>
    </w:p>
    <w:p w14:paraId="7B5242A2">
      <w:pPr>
        <w:spacing w:line="612"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2.申报电影作品奖励的，提供以下材料：</w:t>
      </w:r>
    </w:p>
    <w:p w14:paraId="33534B15">
      <w:pPr>
        <w:spacing w:line="612"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（1）在江苏省备案的证明材料；</w:t>
      </w:r>
    </w:p>
    <w:p w14:paraId="109DB46F">
      <w:pPr>
        <w:spacing w:line="612"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（2）申报单位为电影第一出品方的证明材料；</w:t>
      </w:r>
    </w:p>
    <w:p w14:paraId="37A2CA58">
      <w:pPr>
        <w:spacing w:line="612"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（3）获奖证书、奖牌、表彰文件复印件；</w:t>
      </w:r>
    </w:p>
    <w:p w14:paraId="267BF714">
      <w:pPr>
        <w:spacing w:line="612"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（4）申报票房奖励的提供国家电影专资办票房数据证明材料。</w:t>
      </w:r>
    </w:p>
    <w:p w14:paraId="6611ACE4">
      <w:pPr>
        <w:spacing w:line="612"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3.申报来苏取景拍摄电影奖励的，提供以下材料：</w:t>
      </w:r>
    </w:p>
    <w:p w14:paraId="4DFF8466">
      <w:pPr>
        <w:spacing w:line="612"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（1）电影发行经营许可证；</w:t>
      </w:r>
    </w:p>
    <w:p w14:paraId="7F6A007C">
      <w:pPr>
        <w:spacing w:line="612"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（2）辨识度明显的苏州镜头时长超过电影总时长30%的视频材料；</w:t>
      </w:r>
    </w:p>
    <w:p w14:paraId="22E45D92">
      <w:pPr>
        <w:spacing w:line="612"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（3）国家电影专资办票房数据证明材料。</w:t>
      </w:r>
    </w:p>
    <w:p w14:paraId="207914EF">
      <w:pPr>
        <w:spacing w:line="612"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4.申报电视剧播出奖励的，提供以下材料：</w:t>
      </w:r>
    </w:p>
    <w:p w14:paraId="1097F5F3">
      <w:pPr>
        <w:spacing w:line="612"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（1）国产电视剧发行许可证；</w:t>
      </w:r>
    </w:p>
    <w:p w14:paraId="0ED41A7B">
      <w:pPr>
        <w:spacing w:line="612"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（2）申报单位为电视剧第一出品方的证明材料；</w:t>
      </w:r>
    </w:p>
    <w:p w14:paraId="799BADAB">
      <w:pPr>
        <w:spacing w:line="612"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（3）在中央电视台或当年度收视率排名前五的省级卫视黄金时间段（19:30-22:00）首播的播出证明。</w:t>
      </w:r>
    </w:p>
    <w:p w14:paraId="35C45445">
      <w:pPr>
        <w:spacing w:line="612" w:lineRule="exact"/>
        <w:ind w:firstLine="643"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申报材料请按以上次序编写，用普通A4纸双面打印，一式两份，胶装成册（书面材料不退还）。</w:t>
      </w:r>
    </w:p>
    <w:p w14:paraId="4E305D7D">
      <w:pPr>
        <w:spacing w:line="612"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五、申报程序</w:t>
      </w:r>
    </w:p>
    <w:p w14:paraId="05D67656">
      <w:pPr>
        <w:spacing w:line="61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（一）网上申报</w:t>
      </w:r>
      <w:r>
        <w:rPr>
          <w:rFonts w:hint="default" w:ascii="Times New Roman" w:hAnsi="Times New Roman" w:eastAsia="仿宋_GB2312" w:cs="Times New Roman"/>
          <w:sz w:val="32"/>
          <w:szCs w:val="32"/>
        </w:rPr>
        <w:t>。申报单位登录“苏州市财政专项资金管理系统”（网址：https://www.szzxzjsb.com/），首次申报需先注册，注册成功并通过登录校验后进入企业专项资金申报系统首页，从“项目申报”“按主管部门”“苏州市文化广电和旅游局”端口进入系统在线填报，提交相关电子材料，在申报时间内完成网上申报（详见附件4企业用户操作手册）；</w:t>
      </w:r>
    </w:p>
    <w:p w14:paraId="4F3F8125">
      <w:pPr>
        <w:spacing w:line="612" w:lineRule="exact"/>
        <w:ind w:firstLine="640" w:firstLineChars="20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Cs/>
          <w:sz w:val="32"/>
          <w:szCs w:val="32"/>
        </w:rPr>
        <w:t>（二）书面申报。</w:t>
      </w:r>
      <w:r>
        <w:rPr>
          <w:rFonts w:hint="default" w:ascii="Times New Roman" w:hAnsi="Times New Roman" w:eastAsia="仿宋_GB2312" w:cs="Times New Roman"/>
          <w:sz w:val="32"/>
          <w:szCs w:val="32"/>
        </w:rPr>
        <w:t>网上申报成功后，申报单位将材料报送至注册地所在文旅主管部门；各</w:t>
      </w:r>
      <w:r>
        <w:rPr>
          <w:rFonts w:hint="default" w:ascii="Times New Roman" w:hAnsi="Times New Roman" w:eastAsia="仿宋_GB2312" w:cs="Times New Roman"/>
          <w:sz w:val="32"/>
          <w:szCs w:val="32"/>
          <w:lang w:val="en-US" w:eastAsia="zh-CN"/>
        </w:rPr>
        <w:t>县级市（区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文旅主管部门、财政部门审核盖章后，将申报材</w:t>
      </w:r>
      <w:bookmarkStart w:id="0" w:name="_GoBack"/>
      <w:bookmarkEnd w:id="0"/>
      <w:r>
        <w:rPr>
          <w:rFonts w:hint="default" w:ascii="Times New Roman" w:hAnsi="Times New Roman" w:eastAsia="仿宋_GB2312" w:cs="Times New Roman"/>
          <w:sz w:val="32"/>
          <w:szCs w:val="32"/>
        </w:rPr>
        <w:t>料报送至苏州市文化创意产业联合会。市直属单位直接将申报材料报送至苏州市文化创意产业联合会。网络和纸质需同步审核，书面申报材料需与网上申报材料保持一致。</w:t>
      </w:r>
    </w:p>
    <w:p w14:paraId="29EB405E">
      <w:pPr>
        <w:spacing w:line="612"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六、工作流程</w:t>
      </w:r>
    </w:p>
    <w:p w14:paraId="4680878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12" w:lineRule="exact"/>
        <w:ind w:left="0" w:right="0" w:firstLine="640" w:firstLineChars="200"/>
        <w:jc w:val="left"/>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级市（区）文旅主管部门、财政部门负责对申报材料进行初审，市文广旅局负责牵头对申报材料进行形式审查、组织业内专家进行综合评荐、视情况组织实地核验，市文广旅局综合各县级市（区）主管部门和专家意见，提出扶持资金安排建议，报</w:t>
      </w:r>
      <w:r>
        <w:rPr>
          <w:rFonts w:hint="default" w:ascii="仿宋_GB2312" w:hAnsi="Times New Roman" w:eastAsia="仿宋_GB2312" w:cs="仿宋_GB2312"/>
          <w:b w:val="0"/>
          <w:bCs w:val="0"/>
          <w:caps w:val="0"/>
          <w:vanish w:val="0"/>
          <w:color w:val="auto"/>
          <w:kern w:val="2"/>
          <w:sz w:val="32"/>
          <w:szCs w:val="32"/>
          <w:vertAlign w:val="baseline"/>
          <w:lang w:val="en-US" w:eastAsia="zh-CN" w:bidi="ar"/>
        </w:rPr>
        <w:t>市级相关部门联合会议</w:t>
      </w:r>
      <w:r>
        <w:rPr>
          <w:rFonts w:hint="default" w:ascii="Times New Roman" w:hAnsi="Times New Roman" w:eastAsia="仿宋_GB2312" w:cs="Times New Roman"/>
          <w:sz w:val="32"/>
          <w:szCs w:val="32"/>
        </w:rPr>
        <w:t>审定，经审定后向社会公示，公示期满无异议的，市文广旅局会同市财政局下达资金。</w:t>
      </w:r>
    </w:p>
    <w:p w14:paraId="1F955C09">
      <w:pPr>
        <w:spacing w:line="612" w:lineRule="exact"/>
        <w:ind w:firstLine="645"/>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七、其他事项</w:t>
      </w:r>
    </w:p>
    <w:p w14:paraId="380352DB">
      <w:pPr>
        <w:spacing w:line="61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弄虚作假、骗取财政资金的行为，一经查实，收回资金，并按照《中华人民共和国预算法》《财政违法行为处罚处分条例》《江苏省财政监督条例》等追究相关单位和个人的责任，三年内不得再次申请扶持资金；</w:t>
      </w:r>
    </w:p>
    <w:p w14:paraId="449E03BA">
      <w:pPr>
        <w:spacing w:line="61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（二）同一项目符合《扶持政策》规定的多项扶持条件的，就高不重复；</w:t>
      </w:r>
    </w:p>
    <w:p w14:paraId="7BDFF3BF">
      <w:pPr>
        <w:spacing w:line="612"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（三）本《申报指南》由市</w:t>
      </w:r>
      <w:r>
        <w:rPr>
          <w:rFonts w:hint="eastAsia" w:eastAsia="仿宋_GB2312" w:cs="Times New Roman"/>
          <w:sz w:val="32"/>
          <w:szCs w:val="32"/>
          <w:lang w:val="en-US" w:eastAsia="zh-CN"/>
        </w:rPr>
        <w:t>文广旅局</w:t>
      </w:r>
      <w:r>
        <w:rPr>
          <w:rFonts w:hint="default" w:ascii="Times New Roman" w:hAnsi="Times New Roman" w:eastAsia="仿宋_GB2312" w:cs="Times New Roman"/>
          <w:sz w:val="32"/>
          <w:szCs w:val="32"/>
        </w:rPr>
        <w:t>负责解释。</w:t>
      </w:r>
    </w:p>
    <w:p w14:paraId="62E8991D"/>
    <w:sectPr>
      <w:pgSz w:w="11906" w:h="16838"/>
      <w:pgMar w:top="2041"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2E323"/>
    <w:multiLevelType w:val="multilevel"/>
    <w:tmpl w:val="B982E323"/>
    <w:lvl w:ilvl="0" w:tentative="0">
      <w:start w:val="1"/>
      <w:numFmt w:val="chineseCounting"/>
      <w:suff w:val="nothing"/>
      <w:lvlText w:val="（%1）"/>
      <w:lvlJc w:val="left"/>
      <w:pPr>
        <w:tabs>
          <w:tab w:val="left" w:pos="0"/>
        </w:tabs>
        <w:ind w:left="0" w:firstLine="0"/>
      </w:pPr>
    </w:lvl>
    <w:lvl w:ilvl="1" w:tentative="0">
      <w:start w:val="1"/>
      <w:numFmt w:val="chineseCounting"/>
      <w:lvlRestart w:val="0"/>
      <w:suff w:val="nothing"/>
      <w:lvlText w:val="（%1）"/>
      <w:lvlJc w:val="left"/>
      <w:pPr>
        <w:tabs>
          <w:tab w:val="left" w:pos="0"/>
        </w:tabs>
        <w:ind w:left="0" w:firstLine="0"/>
      </w:pPr>
    </w:lvl>
    <w:lvl w:ilvl="2" w:tentative="0">
      <w:start w:val="1"/>
      <w:numFmt w:val="chineseCounting"/>
      <w:lvlRestart w:val="0"/>
      <w:suff w:val="nothing"/>
      <w:lvlText w:val="（%1）"/>
      <w:lvlJc w:val="left"/>
      <w:pPr>
        <w:tabs>
          <w:tab w:val="left" w:pos="0"/>
        </w:tabs>
        <w:ind w:left="0" w:firstLine="0"/>
      </w:pPr>
    </w:lvl>
    <w:lvl w:ilvl="3" w:tentative="0">
      <w:start w:val="1"/>
      <w:numFmt w:val="chineseCounting"/>
      <w:lvlRestart w:val="0"/>
      <w:suff w:val="nothing"/>
      <w:lvlText w:val="（%1）"/>
      <w:lvlJc w:val="left"/>
      <w:pPr>
        <w:tabs>
          <w:tab w:val="left" w:pos="0"/>
        </w:tabs>
        <w:ind w:left="0" w:firstLine="0"/>
      </w:pPr>
    </w:lvl>
    <w:lvl w:ilvl="4" w:tentative="0">
      <w:start w:val="1"/>
      <w:numFmt w:val="chineseCounting"/>
      <w:lvlRestart w:val="0"/>
      <w:suff w:val="nothing"/>
      <w:lvlText w:val="（%1）"/>
      <w:lvlJc w:val="left"/>
      <w:pPr>
        <w:tabs>
          <w:tab w:val="left" w:pos="0"/>
        </w:tabs>
        <w:ind w:left="0" w:firstLine="0"/>
      </w:pPr>
    </w:lvl>
    <w:lvl w:ilvl="5" w:tentative="0">
      <w:start w:val="1"/>
      <w:numFmt w:val="chineseCounting"/>
      <w:lvlRestart w:val="0"/>
      <w:suff w:val="nothing"/>
      <w:lvlText w:val="（%1）"/>
      <w:lvlJc w:val="left"/>
      <w:pPr>
        <w:tabs>
          <w:tab w:val="left" w:pos="0"/>
        </w:tabs>
        <w:ind w:left="0" w:firstLine="0"/>
      </w:pPr>
    </w:lvl>
    <w:lvl w:ilvl="6" w:tentative="0">
      <w:start w:val="1"/>
      <w:numFmt w:val="chineseCounting"/>
      <w:lvlRestart w:val="0"/>
      <w:suff w:val="nothing"/>
      <w:lvlText w:val="（%1）"/>
      <w:lvlJc w:val="left"/>
      <w:pPr>
        <w:tabs>
          <w:tab w:val="left" w:pos="0"/>
        </w:tabs>
        <w:ind w:left="0" w:firstLine="0"/>
      </w:pPr>
    </w:lvl>
    <w:lvl w:ilvl="7" w:tentative="0">
      <w:start w:val="1"/>
      <w:numFmt w:val="chineseCounting"/>
      <w:lvlRestart w:val="0"/>
      <w:suff w:val="nothing"/>
      <w:lvlText w:val="（%1）"/>
      <w:lvlJc w:val="left"/>
      <w:pPr>
        <w:tabs>
          <w:tab w:val="left" w:pos="0"/>
        </w:tabs>
        <w:ind w:left="0" w:firstLine="0"/>
      </w:pPr>
    </w:lvl>
    <w:lvl w:ilvl="8" w:tentative="0">
      <w:start w:val="1"/>
      <w:numFmt w:val="chineseCounting"/>
      <w:lvlRestart w:val="0"/>
      <w:suff w:val="nothing"/>
      <w:lvlText w:val="（%1）"/>
      <w:lvlJc w:val="left"/>
      <w:pPr>
        <w:tabs>
          <w:tab w:val="left" w:pos="0"/>
        </w:tabs>
        <w:ind w:left="0" w:firstLine="0"/>
      </w:pPr>
    </w:lvl>
  </w:abstractNum>
  <w:abstractNum w:abstractNumId="1">
    <w:nsid w:val="0D3516C7"/>
    <w:multiLevelType w:val="multilevel"/>
    <w:tmpl w:val="0D3516C7"/>
    <w:lvl w:ilvl="0" w:tentative="0">
      <w:start w:val="1"/>
      <w:numFmt w:val="chineseCounting"/>
      <w:suff w:val="nothing"/>
      <w:lvlText w:val="%1、"/>
      <w:lvlJc w:val="left"/>
      <w:pPr>
        <w:tabs>
          <w:tab w:val="left" w:pos="0"/>
        </w:tabs>
        <w:ind w:left="0" w:firstLine="0"/>
      </w:pPr>
    </w:lvl>
    <w:lvl w:ilvl="1" w:tentative="0">
      <w:start w:val="1"/>
      <w:numFmt w:val="chineseCounting"/>
      <w:lvlRestart w:val="0"/>
      <w:suff w:val="nothing"/>
      <w:lvlText w:val="%1、"/>
      <w:lvlJc w:val="left"/>
      <w:pPr>
        <w:tabs>
          <w:tab w:val="left" w:pos="0"/>
        </w:tabs>
        <w:ind w:left="0" w:firstLine="0"/>
      </w:pPr>
    </w:lvl>
    <w:lvl w:ilvl="2" w:tentative="0">
      <w:start w:val="1"/>
      <w:numFmt w:val="chineseCounting"/>
      <w:lvlRestart w:val="0"/>
      <w:suff w:val="nothing"/>
      <w:lvlText w:val="%1、"/>
      <w:lvlJc w:val="left"/>
      <w:pPr>
        <w:tabs>
          <w:tab w:val="left" w:pos="0"/>
        </w:tabs>
        <w:ind w:left="0" w:firstLine="0"/>
      </w:pPr>
    </w:lvl>
    <w:lvl w:ilvl="3" w:tentative="0">
      <w:start w:val="1"/>
      <w:numFmt w:val="chineseCounting"/>
      <w:lvlRestart w:val="0"/>
      <w:suff w:val="nothing"/>
      <w:lvlText w:val="%1、"/>
      <w:lvlJc w:val="left"/>
      <w:pPr>
        <w:tabs>
          <w:tab w:val="left" w:pos="0"/>
        </w:tabs>
        <w:ind w:left="0" w:firstLine="0"/>
      </w:pPr>
    </w:lvl>
    <w:lvl w:ilvl="4" w:tentative="0">
      <w:start w:val="1"/>
      <w:numFmt w:val="chineseCounting"/>
      <w:lvlRestart w:val="0"/>
      <w:suff w:val="nothing"/>
      <w:lvlText w:val="%1、"/>
      <w:lvlJc w:val="left"/>
      <w:pPr>
        <w:tabs>
          <w:tab w:val="left" w:pos="0"/>
        </w:tabs>
        <w:ind w:left="0" w:firstLine="0"/>
      </w:pPr>
    </w:lvl>
    <w:lvl w:ilvl="5" w:tentative="0">
      <w:start w:val="1"/>
      <w:numFmt w:val="chineseCounting"/>
      <w:lvlRestart w:val="0"/>
      <w:suff w:val="nothing"/>
      <w:lvlText w:val="%1、"/>
      <w:lvlJc w:val="left"/>
      <w:pPr>
        <w:tabs>
          <w:tab w:val="left" w:pos="0"/>
        </w:tabs>
        <w:ind w:left="0" w:firstLine="0"/>
      </w:pPr>
    </w:lvl>
    <w:lvl w:ilvl="6" w:tentative="0">
      <w:start w:val="1"/>
      <w:numFmt w:val="chineseCounting"/>
      <w:lvlRestart w:val="0"/>
      <w:suff w:val="nothing"/>
      <w:lvlText w:val="%1、"/>
      <w:lvlJc w:val="left"/>
      <w:pPr>
        <w:tabs>
          <w:tab w:val="left" w:pos="0"/>
        </w:tabs>
        <w:ind w:left="0" w:firstLine="0"/>
      </w:pPr>
    </w:lvl>
    <w:lvl w:ilvl="7" w:tentative="0">
      <w:start w:val="1"/>
      <w:numFmt w:val="chineseCounting"/>
      <w:lvlRestart w:val="0"/>
      <w:suff w:val="nothing"/>
      <w:lvlText w:val="%1、"/>
      <w:lvlJc w:val="left"/>
      <w:pPr>
        <w:tabs>
          <w:tab w:val="left" w:pos="0"/>
        </w:tabs>
        <w:ind w:left="0" w:firstLine="0"/>
      </w:pPr>
    </w:lvl>
    <w:lvl w:ilvl="8" w:tentative="0">
      <w:start w:val="1"/>
      <w:numFmt w:val="chineseCounting"/>
      <w:lvlRestart w:val="0"/>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E2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2025-02-21T08:23:48Z</dcterms:created>
  <dc:creator>Lenovo</dc:creator>
  <cp:lastModifiedBy>小宇宙</cp:lastModifiedBy>
  <dcterms:modified xsi:type="dcterms:W3CDTF">2025-02-21T08:24:09Z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eyJoZGlkIjoiZmNkNjg3YTgwZDgyMWQzZmM4YjljMDY4YTQxMGNlYTUiLCJ1c2VySWQiOiI0Mjc2NDIyMDgifQ==</vt:lpwstr>
  </property>
  <property fmtid="{D5CDD505-2E9C-101B-9397-08002B2CF9AE}" pid="4" name="ICV">
    <vt:lpwstr>1212E4D9894B490CBC8821D118FBC07B_12</vt:lpwstr>
  </property>
</Properties>
</file>